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3B13EE" w:rsidRDefault="003B13EE" w:rsidP="003B13EE">
      <w:pPr>
        <w:pStyle w:val="a7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35 от  09.11.2020г</w:t>
      </w:r>
    </w:p>
    <w:p w:rsidR="00752473" w:rsidRPr="003B13EE" w:rsidRDefault="003B13EE" w:rsidP="003B13EE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Прокуратура </w:t>
      </w:r>
      <w:proofErr w:type="spellStart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Маслянинкого</w:t>
      </w:r>
      <w:proofErr w:type="spellEnd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района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Новосибирской области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 w:rsidRPr="00752473">
        <w:rPr>
          <w:rFonts w:ascii="Arial" w:eastAsia="Calibri" w:hAnsi="Arial" w:cs="Arial"/>
          <w:noProof/>
          <w:color w:val="1A3DC1"/>
          <w:sz w:val="19"/>
          <w:szCs w:val="19"/>
        </w:rPr>
        <w:drawing>
          <wp:inline distT="0" distB="0" distL="0" distR="0">
            <wp:extent cx="1228725" cy="1238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tabs>
          <w:tab w:val="left" w:pos="851"/>
        </w:tabs>
        <w:suppressAutoHyphens/>
        <w:spacing w:after="0" w:line="240" w:lineRule="auto"/>
        <w:ind w:firstLine="284"/>
        <w:jc w:val="center"/>
        <w:rPr>
          <w:rFonts w:ascii="Calibri" w:eastAsia="Calibri" w:hAnsi="Calibri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«</w:t>
      </w:r>
      <w:r w:rsidRPr="00752473">
        <w:rPr>
          <w:rFonts w:ascii="Calibri" w:eastAsia="Calibri" w:hAnsi="Calibri" w:cs="Calibri"/>
          <w:b/>
          <w:sz w:val="28"/>
          <w:szCs w:val="28"/>
          <w:lang w:eastAsia="ar-SA"/>
        </w:rPr>
        <w:t>Уголовная и административная ответственность несовершеннолетних за причинение побоев, легкого вреда здоровью».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Calibri" w:eastAsia="Calibri" w:hAnsi="Calibri" w:cs="Calibri"/>
          <w:noProof/>
        </w:rPr>
        <w:drawing>
          <wp:inline distT="0" distB="0" distL="0" distR="0">
            <wp:extent cx="3886200" cy="2780109"/>
            <wp:effectExtent l="0" t="0" r="0" b="1270"/>
            <wp:docPr id="2" name="Рисунок 2" descr="https://im0-tub-ru.yandex.net/i?id=1bb2c49e81ec170cef3f8d5ff8d7c0c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1bb2c49e81ec170cef3f8d5ff8d7c0ce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003" cy="278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Неосведомленность подростков о системе наказаний лиц, является одним из факторов, способствующих  совершению преступления  несовершеннолетними.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Согласно действующему уголовному законодательству подросток, достигший возраста 16 лет, может быть привлечен к уголовной ответственности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 по ст.115 УК РФ, а также за побои  или иные насильственные действия, не повлекшие последствий, указанных в ст.115 УК РФ по ст.116 УК РФ.</w:t>
      </w:r>
      <w:proofErr w:type="gramEnd"/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При этом  привлечение к уголовной ответственности несовершеннолетних по ст.116 УК РФ возможно только в случае совершения таких действий из хулиганских побуждений, по мотивам политической, идеологической, расовой, национальной или религиозной ненависти  или вражды в отношении какой-либо социальной группы. Во всех остальных случаях подросток, достигший 16 лет, может быть привлечен к административной ответственности. 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Согласно положениям ст.6.1.1 КоАП РФ за нанесение побоев или совершение иных насильственных действий, причинивших физическую боль,  но не повлекших последствий, указанных в ст.115 УК РФ, если эти действия не содержат уголовно наказуемого деяния, подросток подлежит привлечению к административной  ответственности и на него  может быть наложен штраф в сумме от 5 до 30 000 рублей, либо назначены обязательные работы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срок от 60 до 120 часов. 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тем, если лицо ранее было подвергнуто  административному наказанию  за </w:t>
      </w: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причинении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побоев, в случае повторного совершения аналогичного преступления, несовершеннолетний может быть привлечен к уголовной ответственности по ст.116.1 УК РФ. Наказание за совершение аналогичных повторных противоправных действий  предусмотрено более существенное. Так, на несовершеннолетнего судом может быть наложен штраф в размере до 40 000 рублей, или обязательные работы на срок до 240 часов, либо исправительные работы на срок до 6 месяцев, либо арест на срок до 3 месяцев.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трудоспособности, подросток, достигший 16 летнего возраста, может быть привлечен к уголовной ответственности. Судом ему может быть назначено наказание в виде штрафа до 40 000 рублей, обязательные работы на срок до 480 часов, исправительные работы на срок до 1 года.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случае причинения легкого вреда здоровью при отягчающих обстоятельствах (ч.2 ст.115 УК РФ), каковыми закон определил причинение легкого вреда здоровью   из хулиганских побуждений, по мотивам политической,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идеологической</w:t>
      </w: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,р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асовой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, национальной или религиозной ненависти или вражды, либо по мотивам ненависти или вражды в отношении какой-либо социальной группы,  либо с применением оружия или предметов, используемых в качестве оружия, подростку судом может быть назначено более суровое наказание. Кроме обязательных и исправительных работ судом может быть назначено наказание в виде ограничения свободы на срок до 2 лет либо лишение свободы на срок до 2 лет.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Помощник прокурора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Маслянинского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юрист 3 класса                                                                                        В.В.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Дударев</w:t>
      </w:r>
      <w:proofErr w:type="spellEnd"/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lastRenderedPageBreak/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3B13EE" w:rsidRDefault="003B13EE" w:rsidP="003B13EE">
      <w:pPr>
        <w:pStyle w:val="a7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36 от  09.11.2020г</w:t>
      </w:r>
    </w:p>
    <w:p w:rsidR="00752473" w:rsidRPr="003B13EE" w:rsidRDefault="003B13EE" w:rsidP="003B13EE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752473" w:rsidRDefault="00752473" w:rsidP="0000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473" w:rsidRDefault="00752473" w:rsidP="0000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Прокуратура </w:t>
      </w:r>
      <w:proofErr w:type="spellStart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Маслянинского</w:t>
      </w:r>
      <w:proofErr w:type="spellEnd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района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Новосибирской области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ar-SA"/>
        </w:rPr>
      </w:pPr>
      <w:r w:rsidRPr="00752473">
        <w:rPr>
          <w:rFonts w:ascii="Arial" w:eastAsia="Calibri" w:hAnsi="Arial" w:cs="Arial"/>
          <w:noProof/>
          <w:color w:val="1A3DC1"/>
          <w:sz w:val="28"/>
          <w:szCs w:val="28"/>
        </w:rPr>
        <w:drawing>
          <wp:inline distT="0" distB="0" distL="0" distR="0">
            <wp:extent cx="1228725" cy="1238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«Несовершеннолетний потерпевший в уголовном судопроизводстве»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(памятка</w:t>
      </w:r>
      <w:r w:rsidRPr="007524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для взрослых и детей</w:t>
      </w:r>
      <w:r w:rsidRPr="007524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752473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3324225" cy="2533650"/>
            <wp:effectExtent l="0" t="0" r="9525" b="0"/>
            <wp:docPr id="4" name="Рисунок 4" descr="http://s60.radikal.ru/i168/1306/5d/9ce244829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60.radikal.ru/i168/1306/5d/9ce244829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03" cy="253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Нередко жертвами преступлений,  в основном корыстного характера, становятся  несовершеннолетние подростки. Уголовно-процессуальным кодексом Российской Федерации особо урегулированы права несовершеннолетнего потерпевшего, направленные на защиту его интересов,  как при расследовании уголовных дел, так и при рассмотрении таких дел в суде. Понимая, что сам несовершеннолетний в силу возраста не сможет надлежащим образом осуществить защиту своих прав, законодатель  предусмотрел ряд дополнительных гарантий для такого лица.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Согласно положениям ст. 191 УПК РФ все следственные действия, связанные с дачей  несовершеннолетним  показаний (допрос, очная ставка, опознание, </w:t>
      </w: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проверка показаний на месте) проводятся с участием законного представителя несовершеннолетнего. К законным представителям несовершеннолетнего (п.12 ст.5 УПК РФ) закон относит родителей, усыновителей, опекунов, попечителей, представителей учреждений либо организаций, на попечении которых находится подросток. Согласно сложившейся практике  законные представители несовершеннолетних потерпевших участвуют и во всех иных следственных и процессуальных действиях (ознакомление с постановлением о назначении экспертиз, ознакомление с материалами уголовного дела и др.)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Вместе с тем, законом ограничено участие законного представителя потерпевшего, если это противоречит интересам несовершеннолетнего. В таких случаях орган расследования обеспечивает участие другого законного представителя. Закон также обязывает орган расследования обеспечить при проведении следственных действия, связанных с дачей показаний, потерпевшим, не достигшим возраста 16 лет, педагога или психолога. По усмотрению следователя педагог или психолог может участвовать и в следственных действиях с лицом старше 16 лет, если это лицо страдает психическим расстройством или имеет отставание в психическом  развитии. По уголовным делам о преступлениях против половой неприкосновенности несовершеннолетних при проведении допроса, очной ставки,  опознания и проверки показаний на месте с участием  несовершеннолетнего потерпевшего закон предусмотрел обязательное участие психолога.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По общему правилу, предусмотренному  ч. 4 ст.188 УПК РФ лицо, не достигшее возраста 16 лет, вызывается в орган расследования  через его законного представителя или администрацию по месту работы или учебы несовершеннолетнего.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Законодатель ограничил время проведения следственных действий с подростком. Следственные действия с несовершеннолетним потерпевшим в возрасте до 7 лет не могут продолжаться без перерыва более 30 минут, а в общей   сложности более 1 часа; в возрасте от 4 до 14 лет – боле 1 часа, а в общей сложности более 2 часов; в возрасте старше 14 лет </w:t>
      </w: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-б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олее 2 часов, а в общей сложности –более 4 часов в день.</w:t>
      </w:r>
      <w:r w:rsidRPr="00752473">
        <w:rPr>
          <w:rFonts w:ascii="Calibri" w:eastAsia="Calibri" w:hAnsi="Calibri" w:cs="Calibri"/>
          <w:sz w:val="28"/>
          <w:szCs w:val="28"/>
          <w:lang w:eastAsia="ar-SA"/>
        </w:rPr>
        <w:t xml:space="preserve"> </w:t>
      </w: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Потерпевшие в возрасте до 16 лет не предупреждаются об уголовной ответственности за отказ от дачи показаний и за дачу заведомо ложных показаний. Им указывается на необходимость говорить правду.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Частью 5 статьи 191 УПК РФ предусмотрена обязательная фиксация путем видеозаписи или киносъемки хода всех следственных действий с участием несовершеннолетнего потерпевшего. Вместе с тем, если несовершеннолетний потерпевший или его законный представитель возражают против фиксации следственных действий, таковая не проводится. Материалы видеозаписи или киносъемки хранятся  при уголовном деле.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В ходе расследования уголовного дела  при наличии к тому оснований в отношении несовершеннолетнего потерпевшего органом расследования в обязательном порядке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должны быть назначены и проведены судебные экспертизы. Такие случаи оговорены законодателем в частях 4 и  5 ст.196 УПК РФ. Так, назначение и производство судебной экспертизы обязательно, если  </w:t>
      </w: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возникают сомнения в способности потерпевшего правильно воспринимать  обстоятельства, имеющие значение для уголовного дела, и давать показания для установления его психического или физического состояния. Также путем обязательного назначения и проведения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экпертизы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должен быть установлен возраст несовершеннолетнего потерпевшего, если отсутствуют документы, подтверждающие его возраст, или эти документы вызывают сомнения. 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Действия (бездействие) и решения  органа дознания, дознавателя, начальника подразделения дознания, следователя, руководителя следственного органа, повлекшие нарушения прав несовершеннолетнего потерпевшего в ходе досудебного следствия, могут быть обжалованы руководителю следственного органа или прокурору (ст.123 УПК РФ).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Потерпевшие в возрасте до 16 лет не предупреждаются об уголовной ответственности за отказ от дачи показаний и за дачу заведомо ложных показаний. Им указывается на необходимость говорить правду.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Частью 5 статьи 191 УПК РФ предусмотрена обязательная фиксация путем видеозаписи или киносъемки хода всех следственных действий с участием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несовершеннолетнего потерпевшего. Вместе с тем, если несовершеннолетний потерпевший или его законный представитель возражают против фиксации следственных действий, таковая не проводится. Материалы видеозаписи или киносъемки хранятся  при уголовном деле.</w:t>
      </w:r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В ходе расследования уголовного дела  при наличии к тому оснований в отношении несовершеннолетнего потерпевшего органом расследования в обязательном порядке</w:t>
      </w:r>
      <w:proofErr w:type="gram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должны быть назначены и проведены судебные экспертизы. Такие случаи оговорены законодателем в частях 4 и  5 ст.196 УПК РФ. Так, назначение и производство судебной экспертизы обязательно, если  возникают сомнения в способности потерпевшего правильно воспринимать  обстоятельства, имеющие значение для уголовного дела, и давать показания для установления его психического или физического состояния. Также путем обязательного назначения и проведения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экпертизы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должен быть установлен возраст несовершеннолетнего потерпевшего, если отсутствуют документы, подтверждающие его возраст, или эти документы вызывают сомнения. 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Помощник прокурора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Маслянинского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юрист 3 класса                                                                                        В.В.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Дударев</w:t>
      </w:r>
      <w:proofErr w:type="spellEnd"/>
    </w:p>
    <w:p w:rsidR="00752473" w:rsidRPr="00752473" w:rsidRDefault="00752473" w:rsidP="00752473">
      <w:pPr>
        <w:suppressAutoHyphens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E241F9" w:rsidRDefault="00E241F9"/>
    <w:p w:rsidR="00752473" w:rsidRDefault="00752473"/>
    <w:p w:rsidR="003B13EE" w:rsidRDefault="003B13EE"/>
    <w:p w:rsidR="003B13EE" w:rsidRDefault="003B13EE"/>
    <w:p w:rsidR="00752473" w:rsidRDefault="00752473"/>
    <w:p w:rsidR="00752473" w:rsidRDefault="00752473"/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lastRenderedPageBreak/>
        <w:t>Газета основана 18.09.2006г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3B13EE" w:rsidRDefault="003B13EE" w:rsidP="003B13EE">
      <w:pPr>
        <w:pStyle w:val="a7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3B13EE" w:rsidRDefault="003B13EE" w:rsidP="003B13EE">
      <w:pPr>
        <w:pStyle w:val="a7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37 от  10.11.2020г</w:t>
      </w:r>
    </w:p>
    <w:p w:rsidR="00752473" w:rsidRPr="003B13EE" w:rsidRDefault="003B13EE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Прокуратура </w:t>
      </w:r>
      <w:proofErr w:type="spellStart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Маслянинского</w:t>
      </w:r>
      <w:proofErr w:type="spellEnd"/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района 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Calibri"/>
          <w:b/>
          <w:sz w:val="28"/>
          <w:szCs w:val="28"/>
          <w:lang w:eastAsia="ar-SA"/>
        </w:rPr>
        <w:t>Новосибирской области</w:t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ar-SA"/>
        </w:rPr>
      </w:pPr>
      <w:r w:rsidRPr="00752473">
        <w:rPr>
          <w:rFonts w:ascii="Arial" w:eastAsia="Calibri" w:hAnsi="Arial" w:cs="Arial"/>
          <w:noProof/>
          <w:color w:val="1A3DC1"/>
          <w:sz w:val="28"/>
          <w:szCs w:val="28"/>
        </w:rPr>
        <w:drawing>
          <wp:inline distT="0" distB="0" distL="0" distR="0">
            <wp:extent cx="1228725" cy="1238250"/>
            <wp:effectExtent l="19050" t="0" r="952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473" w:rsidRPr="00752473" w:rsidRDefault="00752473" w:rsidP="0075247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ar-SA"/>
        </w:rPr>
      </w:pPr>
    </w:p>
    <w:p w:rsidR="00752473" w:rsidRPr="00752473" w:rsidRDefault="00752473" w:rsidP="00752473">
      <w:pPr>
        <w:suppressAutoHyphens/>
        <w:spacing w:before="100" w:beforeAutospacing="1" w:after="100" w:afterAutospacing="1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524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«П</w:t>
      </w:r>
      <w:r w:rsidRPr="00752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орядок постановки несовершеннолетних на профилактический учет в органы внутренних дел».</w:t>
      </w:r>
    </w:p>
    <w:p w:rsidR="00752473" w:rsidRPr="00752473" w:rsidRDefault="00752473" w:rsidP="00752473">
      <w:pPr>
        <w:suppressAutoHyphens/>
        <w:spacing w:before="100" w:beforeAutospacing="1" w:after="100" w:afterAutospacing="1" w:line="240" w:lineRule="auto"/>
        <w:ind w:left="42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52473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5010149" cy="3267075"/>
            <wp:effectExtent l="0" t="0" r="635" b="0"/>
            <wp:docPr id="9" name="Рисунок 1" descr="http://usp07.msp.midural.ru/upload/images/usp07/2017/04/24/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07.msp.midural.ru/upload/images/usp07/2017/04/24/zastav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74" cy="326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Предупреждением безнадзорности и правонарушений несовершеннолетних занимается широкий круг органов, учреждений и организаций, решающих задачи образования, здравоохранения, нравственно-культурного развития несовершеннолетних, обозначенных в статье 4, 24 Федерального закона от 24.06.1999 №120-ФЗ «Об основах системы профилактики безнадзорности и правонарушений несовершеннолетних». К субъектам системы </w:t>
      </w:r>
      <w:r w:rsidRPr="00752473"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профилактики относятся органы внутренних дел – это государственные органы исполнительной власти, составная часть правоохранительной системы, главными задачами которой являются обеспечение общественного порядка и общественной безопасности, борьба с преступностью, а также иными правонарушениями.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>В соответствии со ст.6 Федерального закона №120-ФЗ в случае прекращения уголовного дела и уголовного преследования, а также вынесения постановления об отказе в возбуждении уголовного дела в отношении несовершеннолетнего, орган дознания, следователь, прокурор указывают в постановлении на необходимость проведения с несовершеннолетним индивидуальной воспитательной работы и постановки его на профилактический учет в комиссии по делам несовершеннолетних и подразделении по делам несовершеннолетних</w:t>
      </w:r>
      <w:proofErr w:type="gram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органа внутренних дел. Копии постановления направляются в указанные органы для исполнения.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Приказом МВД России от 15.10.2013 №845 утверждена Инструкция по организации деятельности подразделений по делам несовершеннолетних органов внутренних дел Российской Федерации. </w:t>
      </w: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>Согласно которой сотрудники ПДН ставят на профилактический учет несовершеннолетних правонарушителей,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 совершивших правонарушение, повлекшее применение меры административного взыскания; совершивших правонарушение до достижения возраста, с которого наступает административная ответственность;</w:t>
      </w:r>
      <w:proofErr w:type="gram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освобожденных от уголовной ответственности вследствие акта об амнистии, или в связи с изменением обстановки, или в связи с примирением с потерпевшим деятельным раскаянием,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совершивших общественно опасное деяние и не подлежащих уголовной ответственности в связи с </w:t>
      </w:r>
      <w:proofErr w:type="spellStart"/>
      <w:r w:rsidRPr="00752473">
        <w:rPr>
          <w:rFonts w:ascii="Times New Roman" w:eastAsia="Times New Roman" w:hAnsi="Times New Roman" w:cs="Times New Roman"/>
          <w:sz w:val="28"/>
          <w:szCs w:val="28"/>
        </w:rPr>
        <w:t>недостижением</w:t>
      </w:r>
      <w:proofErr w:type="spell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обвиняемых или подозреваемых в совершении преступлений, в отношении которых избраны меры пресечения, не связанные с заключением под стражу; </w:t>
      </w: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>условно-досрочно освобожденных от отбывания наказания, освобожденных от наказания вследствие акта об амнистии или в связи с помилованием; получивших отсрочку отбывания наказания или отсрочку исполнения приговора; освобожденных из учреждений уголовно-исполнительной системы Федеральной службы исполнения наказаний,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деяния;</w:t>
      </w:r>
      <w:proofErr w:type="gram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освобожденных из учреждений уголовно-исполнительной системы, вернувшихся из СУВУЗТ, если после освобождения (выпуска) находятся в социально опасном положении и (или) нуждаются в социальной помощи и (или) реабилитации; освобожденных из учреждений уголовно-исполнительной системы, вернувшихся из СУВУЗТ, если после освобождения (выпуска) находятся в социально опасном положении и (или) </w:t>
      </w:r>
      <w:r w:rsidRPr="00752473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нуждаются в социальной помощи и (или) реабилитации;</w:t>
      </w:r>
      <w:proofErr w:type="gram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Указанные категории несовершеннолетних ставятся на профилактический учет </w:t>
      </w:r>
      <w:r w:rsidRPr="00752473">
        <w:rPr>
          <w:rFonts w:ascii="Times New Roman" w:eastAsia="Times New Roman" w:hAnsi="Times New Roman" w:cs="Times New Roman"/>
          <w:sz w:val="28"/>
          <w:szCs w:val="28"/>
          <w:u w:val="single"/>
        </w:rPr>
        <w:t>на основании</w:t>
      </w: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: приговора, определения или постановления суда; постановления прокурора, следователя, дознавателя, начальника территориального органа МВД России, </w:t>
      </w:r>
      <w:proofErr w:type="spellStart"/>
      <w:r w:rsidRPr="00752473">
        <w:rPr>
          <w:rFonts w:ascii="Times New Roman" w:eastAsia="Times New Roman" w:hAnsi="Times New Roman" w:cs="Times New Roman"/>
          <w:sz w:val="28"/>
          <w:szCs w:val="28"/>
        </w:rPr>
        <w:t>КДНиЗП</w:t>
      </w:r>
      <w:proofErr w:type="spellEnd"/>
      <w:r w:rsidRPr="00752473">
        <w:rPr>
          <w:rFonts w:ascii="Times New Roman" w:eastAsia="Times New Roman" w:hAnsi="Times New Roman" w:cs="Times New Roman"/>
          <w:sz w:val="28"/>
          <w:szCs w:val="28"/>
        </w:rPr>
        <w:t>; протокола об административном правонарушении, по которому  принято  решение  о  назначении   административного наказания; заключения о постановке несовершеннолетнего на профилактический учет в подразделении по делам несовершеннолетних и заведении учетно-профилактической карточки.</w:t>
      </w:r>
      <w:proofErr w:type="gramEnd"/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– решение о снятии с профилактического учета по исправлению принимается на основании материалов, подтверждающих факт исправления лица, но не раньше чем через шесть месяцев с момента постановки на профилактический учет;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– снятие с учета в медицинских организациях лиц (употребляющие наркотические средства или психотропные вещества без назначения врача либо одурманивающие вещества; употребляющие алкогольную и (или) спиртосодержащую продукцию) состоящих на профилактическом учете;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- вынесение судом постановления об отмене условного осуждения, отсрочки отбывания наказания либо о замене </w:t>
      </w:r>
      <w:proofErr w:type="spellStart"/>
      <w:r w:rsidRPr="00752473">
        <w:rPr>
          <w:rFonts w:ascii="Times New Roman" w:eastAsia="Times New Roman" w:hAnsi="Times New Roman" w:cs="Times New Roman"/>
          <w:sz w:val="28"/>
          <w:szCs w:val="28"/>
        </w:rPr>
        <w:t>неотбытого</w:t>
      </w:r>
      <w:proofErr w:type="spell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срока наказания в виде ограничения свободы наказанием в виде лишения свободы.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истечение испытательного срока при условном осуждении.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- отмена либо изменение приговора, </w:t>
      </w:r>
      <w:proofErr w:type="gramStart"/>
      <w:r w:rsidRPr="00752473">
        <w:rPr>
          <w:rFonts w:ascii="Times New Roman" w:eastAsia="Times New Roman" w:hAnsi="Times New Roman" w:cs="Times New Roman"/>
          <w:sz w:val="28"/>
          <w:szCs w:val="28"/>
        </w:rPr>
        <w:t>исключивших</w:t>
      </w:r>
      <w:proofErr w:type="gram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применение условного осуждения или отсрочки отбывания наказания, если судом не применены к этому лицу иные виды наказания;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помещение в СУВУЗТ;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совершение преступления, если в отношении лица избрана мера пресечения в виде заключения под стражу, или при его осуждении к лишению свободы;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52473">
        <w:rPr>
          <w:rFonts w:ascii="Times New Roman" w:eastAsia="Times New Roman" w:hAnsi="Times New Roman" w:cs="Times New Roman"/>
          <w:sz w:val="28"/>
          <w:szCs w:val="28"/>
        </w:rPr>
        <w:t>неподтверждение</w:t>
      </w:r>
      <w:proofErr w:type="spellEnd"/>
      <w:r w:rsidRPr="00752473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послуживших основанием для постановки на профилактический учет;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наступление обстоятельств, исключающих возможность совершения правонарушений;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смерть, объявление в установленном законодательством Российской Федерации порядке умершим или признание безвестно отсутствующим;</w:t>
      </w:r>
    </w:p>
    <w:p w:rsidR="00752473" w:rsidRPr="00752473" w:rsidRDefault="00752473" w:rsidP="007524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73">
        <w:rPr>
          <w:rFonts w:ascii="Times New Roman" w:eastAsia="Times New Roman" w:hAnsi="Times New Roman" w:cs="Times New Roman"/>
          <w:sz w:val="28"/>
          <w:szCs w:val="28"/>
        </w:rPr>
        <w:t>- достижения 18-летнего возраста.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Помощник прокурора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Маслянинского</w:t>
      </w:r>
      <w:proofErr w:type="spellEnd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</w:t>
      </w:r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юрист 3 класса                                                                                     В.В. </w:t>
      </w:r>
      <w:proofErr w:type="spellStart"/>
      <w:r w:rsidRPr="00752473">
        <w:rPr>
          <w:rFonts w:ascii="Times New Roman" w:eastAsia="Calibri" w:hAnsi="Times New Roman" w:cs="Times New Roman"/>
          <w:sz w:val="28"/>
          <w:szCs w:val="28"/>
          <w:lang w:eastAsia="ar-SA"/>
        </w:rPr>
        <w:t>Дударев</w:t>
      </w:r>
      <w:proofErr w:type="spellEnd"/>
    </w:p>
    <w:p w:rsidR="00752473" w:rsidRPr="00752473" w:rsidRDefault="00752473" w:rsidP="00752473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752473" w:rsidRDefault="00752473">
      <w:bookmarkStart w:id="0" w:name="_GoBack"/>
      <w:bookmarkEnd w:id="0"/>
    </w:p>
    <w:p w:rsidR="00E241F9" w:rsidRDefault="00E241F9"/>
    <w:p w:rsidR="00E241F9" w:rsidRDefault="00E241F9"/>
    <w:p w:rsidR="00E241F9" w:rsidRDefault="00E241F9"/>
    <w:p w:rsidR="00E241F9" w:rsidRDefault="00E241F9"/>
    <w:p w:rsidR="00E241F9" w:rsidRDefault="00E241F9"/>
    <w:p w:rsidR="00E241F9" w:rsidRDefault="00E241F9"/>
    <w:p w:rsidR="007A6631" w:rsidRDefault="007A6631"/>
    <w:sectPr w:rsidR="007A6631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03303"/>
    <w:rsid w:val="00075C16"/>
    <w:rsid w:val="00141BE3"/>
    <w:rsid w:val="00180C67"/>
    <w:rsid w:val="001B325A"/>
    <w:rsid w:val="00264244"/>
    <w:rsid w:val="00310258"/>
    <w:rsid w:val="003B13EE"/>
    <w:rsid w:val="00433B31"/>
    <w:rsid w:val="0044208C"/>
    <w:rsid w:val="00694342"/>
    <w:rsid w:val="006A088A"/>
    <w:rsid w:val="007344E8"/>
    <w:rsid w:val="00752473"/>
    <w:rsid w:val="00777E65"/>
    <w:rsid w:val="007A6631"/>
    <w:rsid w:val="007C56E4"/>
    <w:rsid w:val="008701F7"/>
    <w:rsid w:val="008A52BD"/>
    <w:rsid w:val="0099492E"/>
    <w:rsid w:val="009F3AC7"/>
    <w:rsid w:val="00A34416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01EC3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33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a0"/>
    <w:rsid w:val="00003303"/>
  </w:style>
  <w:style w:type="paragraph" w:customStyle="1" w:styleId="a7">
    <w:name w:val="Стиль"/>
    <w:rsid w:val="003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B1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33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a0"/>
    <w:rsid w:val="00003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6</cp:revision>
  <cp:lastPrinted>2019-01-24T04:30:00Z</cp:lastPrinted>
  <dcterms:created xsi:type="dcterms:W3CDTF">2020-11-06T04:54:00Z</dcterms:created>
  <dcterms:modified xsi:type="dcterms:W3CDTF">2020-11-10T08:16:00Z</dcterms:modified>
</cp:coreProperties>
</file>